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FD" w:rsidRDefault="00A537E2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Model de raport de monitorizare a achizițiilor publice la nivel local</w:t>
      </w:r>
    </w:p>
    <w:p w:rsidR="00265EFD" w:rsidRDefault="00265EFD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EFD" w:rsidRDefault="00265EFD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EFD" w:rsidRDefault="00A537E2">
      <w:pPr>
        <w:pStyle w:val="normal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Acronimele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(Utilizăm forma prescurtată a denumirilor de instituții, procedurilor de achiziții, registrelor de stat etc, care se întâlnesc des în raportul de monitorizare, spre exemplu: Agenția Achiziții Publice - AAP; Registrul de Stat al Achizițiilor Publice - RSAP </w:t>
      </w:r>
      <w:r>
        <w:rPr>
          <w:rFonts w:ascii="Times New Roman" w:eastAsia="Times New Roman" w:hAnsi="Times New Roman" w:cs="Times New Roman"/>
          <w:sz w:val="28"/>
          <w:szCs w:val="28"/>
        </w:rPr>
        <w:t>etc).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Indicăm platformele online și sursele deschise care vor fi utilizate pentru monitorizarea procesului de achiziții publice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(spre ex. tender.gov.md; idno.md; e-licitatie.md etc)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precum și cadrul legal normativ care reglementează procedurile de achizi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ții publice, și de care ne-am condus la monitorizarea acestora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(spre ex.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Legea nr. 131/2015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HG 98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7/2018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HG 1419/2016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etc).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Informații generale despre Autoritatea Publică Locală monitorizată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Bugetul total alocat pentru desfășurarea achizițiilor publice în perioada de monit</w:t>
      </w:r>
      <w:r>
        <w:rPr>
          <w:rFonts w:ascii="Times New Roman" w:eastAsia="Times New Roman" w:hAnsi="Times New Roman" w:cs="Times New Roman"/>
          <w:sz w:val="28"/>
          <w:szCs w:val="28"/>
        </w:rPr>
        <w:t>orizare; numărul contractelor de valoare mică; numărul procedurilor de achiziții publice; alte informații relevante.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FD" w:rsidRDefault="00A537E2">
      <w:pPr>
        <w:pStyle w:val="normal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Constatări privind transparența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Descrierea în ce măsură sunt accesibile informațiile pe pagina web a primăriei (planul anual de achiziție;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darea de seamă anuală privind realizarea achizițiilor publice de valoare mică; raportul anual cu privire la monitorizarea contractelor de achiziție publică; apeluri publice de invitare a societății civile pentru participarea la monitorizarea procesului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achiziții publice etc).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Informații despre achizițiile de valoare mică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Identificăm dacă toate achizițiile de valoare mică au fost desfășurate conform cadrului legal și nu au depășit pragurile maxime stabilite pentru această procedură de achiziție publică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(pînă la 200.000 MDL pentru bunuri și servicii; până la 250.000 MDL pentru efectuarea lucrărilor).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Identificăm operatorii economici cu care s-a încheiat mai mult de 1 contract de valoare mică și verificăm dacă nu a avut loc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divizarea achiziţiei prin înche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ierea de contracte de achiziții publice separate în scopul aplicării unei alte proceduri de achiziţie publică decât procedura care ar fi fost utilizată în conformitate cu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legea în cazul în care achiziţia nu ar fi fost divizată (excepție constituie produsel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 sezoniere, mai exact: alimentare și biletele de călătorie cu avionul).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Analizarea dării de seamă cu privire la monitorizarea contractelor de achiziție publică</w:t>
      </w: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Includem într-un tabel informațiile despre toate achizițiile publice desfășurate, conform următorului model:</w:t>
      </w:r>
    </w:p>
    <w:p w:rsidR="00265EFD" w:rsidRDefault="00265EFD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5EFD" w:rsidRDefault="00A537E2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Model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90"/>
        <w:gridCol w:w="2820"/>
        <w:gridCol w:w="2190"/>
        <w:gridCol w:w="1560"/>
        <w:gridCol w:w="1740"/>
      </w:tblGrid>
      <w:tr w:rsidR="00265EFD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Operatorul Economic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Administratorul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Numărul contractelor atribuite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Suma totală (MDL)</w:t>
            </w:r>
          </w:p>
        </w:tc>
      </w:tr>
      <w:tr w:rsidR="00265EFD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265EFD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265EFD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265EFD"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A537E2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EFD" w:rsidRDefault="00265EFD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265EFD" w:rsidRDefault="00265EFD">
      <w:pPr>
        <w:pStyle w:val="normal0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</w:pP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ab/>
        <w:t>Observații</w:t>
      </w: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Verificăm dacă agenții economici care au câștigat contracte de achiziții publice au conexiuni directe sau indirecte la angajații administrației publice locale sau consilierii locali pentru achiziții din cadrul APL-ului monitorizat (utilizăm platformele per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soanelor juridice în Republica Moldova: idno.md; infodebit.md; infobase.md etc), căutăm informațiile despre fondatorii și administratorii companiilor, inclusiv foștii, verificăm dacă la adresele juridice respective nu sunt conectate alte companii conexe me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mbrilor grupului de lucru pentru achiziții publice etc.</w:t>
      </w:r>
    </w:p>
    <w:p w:rsidR="00265EFD" w:rsidRDefault="00265EFD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Ulterior prin intermediul portalului declarațiilor de avere și interese personale de pe site-ul Autorității Naționale de Integritate - 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www.ani.m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identificăm lista operatorilor economici în care membrii grupului dețin cote-părți/acțiuni în capitalul social, suprapunând cu lista agenților economici care au contractat contracte de achiziții publice, pentru a identifica potențiale conflicte de interese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265EFD" w:rsidRDefault="00265EFD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Examinăm procedurile de achiziții publice contestate la Agenția Națională pentru Soluționarea Contestațiilor (ANSC)</w:t>
      </w: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Accesăm site-ul ANSC-ului -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www.ansc.md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 Selectăm compartimentul „Contestații” - „Decizii”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și perioada pentru care facem monitorizarea. În filtrul de căutare, căutăm deciziile ANSC-ului după autoritatea contractantă. Prin urmare analizăm contestațiile depuse la ANSC și identificăm deciziile de atribuire a contractelor care au fost anulate ANSC. </w:t>
      </w:r>
      <w:r>
        <w:rPr>
          <w:rFonts w:ascii="Times New Roman" w:eastAsia="Times New Roman" w:hAnsi="Times New Roman" w:cs="Times New Roman"/>
          <w:sz w:val="28"/>
          <w:szCs w:val="28"/>
        </w:rPr>
        <w:t>Expunem faptele pretins ilegale identificate de ANSC în baza cărora a fost anulată procedura de achiziție publică în raportul de monitorizare.</w:t>
      </w:r>
    </w:p>
    <w:p w:rsidR="00265EFD" w:rsidRDefault="00265EFD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Concluzii și recomandări</w:t>
      </w:r>
    </w:p>
    <w:p w:rsidR="00265EFD" w:rsidRDefault="00A537E2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Facem succinte concluzii privitor la transparența și corectitudinea efectuării proc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edurilor de achiziții publice de către autoritatea contractantă monitorizată și venim cu anumite recomandări de îmbunătățire a procesului de achiziții publice de către autoritatea în cauză (vom ține cont inclusiv de încălcările depistate de ANSC în caz că </w:t>
      </w:r>
      <w:r>
        <w:rPr>
          <w:rFonts w:ascii="Times New Roman" w:eastAsia="Times New Roman" w:hAnsi="Times New Roman" w:cs="Times New Roman"/>
          <w:sz w:val="28"/>
          <w:szCs w:val="28"/>
        </w:rPr>
        <w:t>sunt proceduri anulate de această autoritate).</w:t>
      </w:r>
    </w:p>
    <w:p w:rsidR="00265EFD" w:rsidRDefault="00265EFD">
      <w:pPr>
        <w:pStyle w:val="normal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65EFD" w:rsidSect="00265E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E2" w:rsidRDefault="00A537E2" w:rsidP="00265EFD">
      <w:pPr>
        <w:spacing w:line="240" w:lineRule="auto"/>
      </w:pPr>
      <w:r>
        <w:separator/>
      </w:r>
    </w:p>
  </w:endnote>
  <w:endnote w:type="continuationSeparator" w:id="0">
    <w:p w:rsidR="00A537E2" w:rsidRDefault="00A537E2" w:rsidP="00265E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E2" w:rsidRDefault="00A537E2" w:rsidP="00265EFD">
      <w:pPr>
        <w:spacing w:line="240" w:lineRule="auto"/>
      </w:pPr>
      <w:r>
        <w:separator/>
      </w:r>
    </w:p>
  </w:footnote>
  <w:footnote w:type="continuationSeparator" w:id="0">
    <w:p w:rsidR="00A537E2" w:rsidRDefault="00A537E2" w:rsidP="00265E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0F4"/>
    <w:multiLevelType w:val="multilevel"/>
    <w:tmpl w:val="CB4E0A8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C517A79"/>
    <w:multiLevelType w:val="multilevel"/>
    <w:tmpl w:val="A3FEC2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5415D61"/>
    <w:multiLevelType w:val="multilevel"/>
    <w:tmpl w:val="18D274C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4827FF4"/>
    <w:multiLevelType w:val="multilevel"/>
    <w:tmpl w:val="231E8A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EFD"/>
    <w:rsid w:val="00024DAA"/>
    <w:rsid w:val="00265EFD"/>
    <w:rsid w:val="00A537E2"/>
    <w:rsid w:val="00AF12DE"/>
    <w:rsid w:val="00D1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65E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65E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65E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65E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65EF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65E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65EFD"/>
  </w:style>
  <w:style w:type="paragraph" w:styleId="Title">
    <w:name w:val="Title"/>
    <w:basedOn w:val="normal0"/>
    <w:next w:val="normal0"/>
    <w:rsid w:val="00265EF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265EF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65E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65E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65E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65EF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65E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E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5E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md/cautare/getResults?doc_id=109176&amp;lang=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s.md/cautare/getResults?doc_id=125108&amp;lang=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sc.m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rtal-declaratii.ani.m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.md/cautare/getResults?doc_id=96902&amp;lang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2021-09-21T09:12:00Z</dcterms:created>
  <dcterms:modified xsi:type="dcterms:W3CDTF">2021-09-21T09:12:00Z</dcterms:modified>
</cp:coreProperties>
</file>